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27" w:rsidRPr="00E92F27" w:rsidRDefault="00E92F27" w:rsidP="00E92F27">
      <w:pPr>
        <w:pStyle w:val="1"/>
        <w:rPr>
          <w:sz w:val="28"/>
          <w:szCs w:val="28"/>
        </w:rPr>
      </w:pPr>
      <w:r w:rsidRPr="00E92F27">
        <w:rPr>
          <w:sz w:val="28"/>
          <w:szCs w:val="28"/>
        </w:rPr>
        <w:t xml:space="preserve">Паспорт </w:t>
      </w:r>
      <w:r w:rsidRPr="00E92F27">
        <w:rPr>
          <w:sz w:val="28"/>
          <w:szCs w:val="28"/>
        </w:rPr>
        <w:br/>
        <w:t xml:space="preserve">услуги </w:t>
      </w:r>
      <w:bookmarkStart w:id="0" w:name="_GoBack"/>
      <w:bookmarkEnd w:id="0"/>
      <w:r w:rsidRPr="00E92F27">
        <w:rPr>
          <w:sz w:val="28"/>
          <w:szCs w:val="28"/>
        </w:rPr>
        <w:t>сетевой организации</w:t>
      </w:r>
    </w:p>
    <w:p w:rsidR="00E92F27" w:rsidRPr="00E92F27" w:rsidRDefault="00E92F27" w:rsidP="00E92F27">
      <w:pPr>
        <w:spacing w:after="0" w:line="240" w:lineRule="auto"/>
        <w:ind w:firstLine="697"/>
        <w:jc w:val="center"/>
        <w:rPr>
          <w:b/>
          <w:sz w:val="28"/>
          <w:szCs w:val="28"/>
          <w:u w:val="single"/>
        </w:rPr>
      </w:pPr>
      <w:r w:rsidRPr="00E92F27">
        <w:rPr>
          <w:b/>
          <w:sz w:val="28"/>
          <w:szCs w:val="28"/>
          <w:u w:val="single"/>
        </w:rPr>
        <w:t>Технологическое присоединение к электрическим сетям</w:t>
      </w:r>
    </w:p>
    <w:p w:rsidR="00E92F27" w:rsidRDefault="00E92F27" w:rsidP="00E92F27">
      <w:pPr>
        <w:spacing w:after="0" w:line="240" w:lineRule="auto"/>
        <w:ind w:firstLine="697"/>
        <w:jc w:val="center"/>
      </w:pPr>
      <w:r>
        <w:t>наименование услуги (процесса)</w:t>
      </w:r>
    </w:p>
    <w:p w:rsidR="00E92F27" w:rsidRPr="00E92F27" w:rsidRDefault="00E92F27" w:rsidP="00E92F27">
      <w:pPr>
        <w:rPr>
          <w:sz w:val="24"/>
          <w:szCs w:val="24"/>
        </w:rPr>
      </w:pPr>
    </w:p>
    <w:p w:rsidR="00555292" w:rsidRDefault="00E92F27" w:rsidP="00E92F27">
      <w:pPr>
        <w:pStyle w:val="a4"/>
        <w:rPr>
          <w:rFonts w:ascii="Times New Roman" w:hAnsi="Times New Roman" w:cs="Times New Roman"/>
        </w:rPr>
      </w:pPr>
      <w:r w:rsidRPr="00555292">
        <w:rPr>
          <w:rFonts w:ascii="Times New Roman" w:hAnsi="Times New Roman" w:cs="Times New Roman"/>
          <w:b/>
        </w:rPr>
        <w:t>Круг заявителей:</w:t>
      </w:r>
      <w:r w:rsidRPr="00555292">
        <w:rPr>
          <w:rFonts w:ascii="Times New Roman" w:hAnsi="Times New Roman" w:cs="Times New Roman"/>
          <w:sz w:val="22"/>
          <w:szCs w:val="22"/>
        </w:rPr>
        <w:t xml:space="preserve"> Любые лица, </w:t>
      </w:r>
      <w:r w:rsidRPr="00555292">
        <w:rPr>
          <w:rFonts w:ascii="Times New Roman" w:hAnsi="Times New Roman" w:cs="Times New Roman"/>
        </w:rPr>
        <w:t>в случаях</w:t>
      </w:r>
      <w:r w:rsidR="00555292">
        <w:rPr>
          <w:rFonts w:ascii="Times New Roman" w:hAnsi="Times New Roman" w:cs="Times New Roman"/>
        </w:rPr>
        <w:t>:</w:t>
      </w:r>
    </w:p>
    <w:p w:rsidR="00E92F27" w:rsidRPr="00555292" w:rsidRDefault="00555292" w:rsidP="00E92F2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92F27" w:rsidRPr="00555292">
        <w:rPr>
          <w:rFonts w:ascii="Times New Roman" w:hAnsi="Times New Roman" w:cs="Times New Roman"/>
        </w:rPr>
        <w:t xml:space="preserve"> </w:t>
      </w:r>
      <w:r w:rsidR="00E92F27" w:rsidRPr="00555292">
        <w:rPr>
          <w:rFonts w:ascii="Times New Roman" w:hAnsi="Times New Roman" w:cs="Times New Roman"/>
        </w:rPr>
        <w:t>присоединения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555292" w:rsidRPr="00555292" w:rsidRDefault="00555292" w:rsidP="0055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5292">
        <w:rPr>
          <w:rFonts w:ascii="Times New Roman" w:hAnsi="Times New Roman" w:cs="Times New Roman"/>
          <w:sz w:val="24"/>
          <w:szCs w:val="24"/>
        </w:rPr>
        <w:t xml:space="preserve">- </w:t>
      </w:r>
      <w:r w:rsidRPr="00555292">
        <w:rPr>
          <w:rFonts w:ascii="Times New Roman" w:hAnsi="Times New Roman" w:cs="Times New Roman"/>
          <w:sz w:val="24"/>
          <w:szCs w:val="24"/>
        </w:rPr>
        <w:t xml:space="preserve">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 </w:t>
      </w:r>
      <w:hyperlink r:id="rId5" w:history="1">
        <w:r w:rsidRPr="005552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55292">
        <w:rPr>
          <w:rFonts w:ascii="Times New Roman" w:hAnsi="Times New Roman" w:cs="Times New Roman"/>
          <w:sz w:val="24"/>
          <w:szCs w:val="24"/>
        </w:rP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</w:t>
      </w:r>
      <w:proofErr w:type="gramEnd"/>
    </w:p>
    <w:p w:rsidR="00555292" w:rsidRPr="00555292" w:rsidRDefault="00555292" w:rsidP="005552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5292">
        <w:rPr>
          <w:rFonts w:ascii="Times New Roman" w:hAnsi="Times New Roman" w:cs="Times New Roman"/>
          <w:sz w:val="24"/>
          <w:szCs w:val="24"/>
        </w:rPr>
        <w:t xml:space="preserve">- </w:t>
      </w:r>
      <w:r w:rsidRPr="00555292">
        <w:rPr>
          <w:rFonts w:ascii="Times New Roman" w:hAnsi="Times New Roman" w:cs="Times New Roman"/>
          <w:sz w:val="24"/>
          <w:szCs w:val="24"/>
        </w:rPr>
        <w:t xml:space="preserve">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:rsidR="00E92F27" w:rsidRPr="00555292" w:rsidRDefault="00E92F27" w:rsidP="00E92F27">
      <w:pPr>
        <w:pStyle w:val="a4"/>
        <w:rPr>
          <w:rFonts w:ascii="Times New Roman" w:hAnsi="Times New Roman" w:cs="Times New Roman"/>
          <w:b/>
        </w:rPr>
      </w:pPr>
      <w:r w:rsidRPr="00555292">
        <w:rPr>
          <w:rFonts w:ascii="Times New Roman" w:hAnsi="Times New Roman" w:cs="Times New Roman"/>
          <w:b/>
        </w:rPr>
        <w:t>Размер платы за предоставление услуги и основание ее взимания:</w:t>
      </w:r>
    </w:p>
    <w:p w:rsidR="00E92F27" w:rsidRPr="00555292" w:rsidRDefault="00555292" w:rsidP="00555292">
      <w:pPr>
        <w:pStyle w:val="a4"/>
        <w:jc w:val="both"/>
        <w:rPr>
          <w:rFonts w:ascii="Times New Roman" w:hAnsi="Times New Roman" w:cs="Times New Roman"/>
        </w:rPr>
      </w:pPr>
      <w:r w:rsidRPr="00555292">
        <w:rPr>
          <w:rFonts w:ascii="Times New Roman" w:hAnsi="Times New Roman" w:cs="Times New Roman"/>
        </w:rPr>
        <w:t>В соответствие с Постановлением Комитета по ценам и тарифам Правительства Хабаровского края «Об установлении единых стандартизированных ставок, ставок за 1 кВт мощности и формул платы за технологическое присоединение энергопринимающих устройств потребителей для всех территориальных сетевых организаций на территории Хабаровского края (на 2020 год № 46/1 от 27.12.2019 г)</w:t>
      </w:r>
    </w:p>
    <w:p w:rsidR="00D20F29" w:rsidRPr="00D20F29" w:rsidRDefault="00E92F27" w:rsidP="00D20F2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20F29">
        <w:rPr>
          <w:rFonts w:ascii="Times New Roman" w:hAnsi="Times New Roman" w:cs="Times New Roman"/>
          <w:sz w:val="24"/>
          <w:szCs w:val="24"/>
        </w:rPr>
        <w:t>Условия оказания услуги</w:t>
      </w:r>
      <w:r w:rsidRPr="00D20F29">
        <w:rPr>
          <w:sz w:val="24"/>
          <w:szCs w:val="24"/>
        </w:rPr>
        <w:t>:</w:t>
      </w:r>
      <w:r w:rsidR="00D20F29">
        <w:rPr>
          <w:szCs w:val="22"/>
        </w:rPr>
        <w:t xml:space="preserve"> </w:t>
      </w:r>
      <w:r w:rsidR="00D20F29" w:rsidRPr="00D20F29">
        <w:rPr>
          <w:b w:val="0"/>
          <w:szCs w:val="22"/>
        </w:rPr>
        <w:t xml:space="preserve">при наличии сведений и документов,  перечисленных в </w:t>
      </w:r>
      <w:proofErr w:type="spellStart"/>
      <w:r w:rsidR="00D20F29" w:rsidRPr="00D20F29">
        <w:rPr>
          <w:b w:val="0"/>
          <w:szCs w:val="22"/>
        </w:rPr>
        <w:t>п</w:t>
      </w:r>
      <w:r w:rsidR="00D20F29">
        <w:rPr>
          <w:b w:val="0"/>
          <w:szCs w:val="22"/>
        </w:rPr>
        <w:t>п</w:t>
      </w:r>
      <w:proofErr w:type="spellEnd"/>
      <w:r w:rsidR="00D20F29" w:rsidRPr="00D20F29">
        <w:rPr>
          <w:b w:val="0"/>
          <w:szCs w:val="22"/>
        </w:rPr>
        <w:t xml:space="preserve">. 9, 10 </w:t>
      </w:r>
      <w:r w:rsidR="00D20F29" w:rsidRPr="00D20F29">
        <w:rPr>
          <w:rFonts w:ascii="Times New Roman" w:hAnsi="Times New Roman" w:cs="Times New Roman"/>
          <w:b w:val="0"/>
          <w:sz w:val="20"/>
        </w:rPr>
        <w:t>«</w:t>
      </w:r>
      <w:r w:rsidR="00D20F29" w:rsidRPr="00D20F29">
        <w:rPr>
          <w:rFonts w:ascii="Times New Roman" w:hAnsi="Times New Roman" w:cs="Times New Roman"/>
          <w:b w:val="0"/>
          <w:sz w:val="20"/>
        </w:rPr>
        <w:t>ПРАВИЛ</w:t>
      </w:r>
      <w:r w:rsidR="00D20F29" w:rsidRPr="00D20F29">
        <w:rPr>
          <w:rFonts w:ascii="Times New Roman" w:hAnsi="Times New Roman" w:cs="Times New Roman"/>
          <w:b w:val="0"/>
          <w:sz w:val="20"/>
        </w:rPr>
        <w:t xml:space="preserve"> </w:t>
      </w:r>
      <w:r w:rsidR="00D20F29" w:rsidRPr="00D20F29">
        <w:rPr>
          <w:rFonts w:ascii="Times New Roman" w:hAnsi="Times New Roman" w:cs="Times New Roman"/>
          <w:b w:val="0"/>
          <w:sz w:val="20"/>
        </w:rPr>
        <w:t>ТЕХНОЛОГИЧЕСКОГО ПРИСОЕДИНЕНИЯ ЭНЕРГОПРИНИМАЮЩИХ</w:t>
      </w:r>
    </w:p>
    <w:p w:rsidR="00E92F27" w:rsidRPr="00D20F29" w:rsidRDefault="00D20F29" w:rsidP="00D20F2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20F29">
        <w:rPr>
          <w:rFonts w:ascii="Times New Roman" w:hAnsi="Times New Roman" w:cs="Times New Roman"/>
          <w:b w:val="0"/>
          <w:sz w:val="20"/>
        </w:rPr>
        <w:t>УСТРОЙСТВ ПОТРЕБИТЕЛЕЙ ЭЛЕКТРИЧЕСКОЙ ЭНЕРГИИ, ОБЪЕКТОВ ПО</w:t>
      </w:r>
      <w:r w:rsidRPr="00D20F29">
        <w:rPr>
          <w:rFonts w:ascii="Times New Roman" w:hAnsi="Times New Roman" w:cs="Times New Roman"/>
          <w:b w:val="0"/>
          <w:sz w:val="20"/>
        </w:rPr>
        <w:t xml:space="preserve"> </w:t>
      </w:r>
      <w:r w:rsidRPr="00D20F29">
        <w:rPr>
          <w:rFonts w:ascii="Times New Roman" w:hAnsi="Times New Roman" w:cs="Times New Roman"/>
          <w:b w:val="0"/>
          <w:sz w:val="20"/>
        </w:rPr>
        <w:t>ПРОИЗВОДСТВУ ЭЛЕКТРИЧЕСКОЙ ЭНЕРГИИ, А ТАКЖЕ ОБЪЕКТОВ</w:t>
      </w:r>
      <w:r w:rsidRPr="00D20F29">
        <w:rPr>
          <w:rFonts w:ascii="Times New Roman" w:hAnsi="Times New Roman" w:cs="Times New Roman"/>
          <w:b w:val="0"/>
          <w:sz w:val="20"/>
        </w:rPr>
        <w:t xml:space="preserve"> </w:t>
      </w:r>
      <w:r w:rsidRPr="00D20F29">
        <w:rPr>
          <w:rFonts w:ascii="Times New Roman" w:hAnsi="Times New Roman" w:cs="Times New Roman"/>
          <w:b w:val="0"/>
          <w:sz w:val="20"/>
        </w:rPr>
        <w:t>ЭЛЕКТРОСЕТЕВОГО ХОЗЯЙСТВА, ПРИНАДЛЕЖАЩИХ СЕТЕВЫМ</w:t>
      </w:r>
      <w:r w:rsidRPr="00D20F29">
        <w:rPr>
          <w:rFonts w:ascii="Times New Roman" w:hAnsi="Times New Roman" w:cs="Times New Roman"/>
          <w:b w:val="0"/>
          <w:sz w:val="20"/>
        </w:rPr>
        <w:t xml:space="preserve"> </w:t>
      </w:r>
      <w:r w:rsidRPr="00D20F29">
        <w:rPr>
          <w:rFonts w:ascii="Times New Roman" w:hAnsi="Times New Roman" w:cs="Times New Roman"/>
          <w:b w:val="0"/>
          <w:sz w:val="20"/>
        </w:rPr>
        <w:t>ОРГАНИЗАЦИЯМ И ИНЫМ ЛИЦАМ, К ЭЛЕКТРИЧЕСКИМ СЕТЯМ</w:t>
      </w:r>
      <w:r w:rsidRPr="00D20F29">
        <w:rPr>
          <w:rFonts w:ascii="Times New Roman" w:hAnsi="Times New Roman" w:cs="Times New Roman"/>
          <w:b w:val="0"/>
          <w:sz w:val="20"/>
        </w:rPr>
        <w:t>»</w:t>
      </w:r>
      <w:r>
        <w:rPr>
          <w:rFonts w:ascii="Times New Roman" w:hAnsi="Times New Roman" w:cs="Times New Roman"/>
          <w:b w:val="0"/>
          <w:sz w:val="20"/>
        </w:rPr>
        <w:t xml:space="preserve">, </w:t>
      </w:r>
      <w:r w:rsidRPr="00D20F29">
        <w:rPr>
          <w:rFonts w:ascii="Times New Roman" w:hAnsi="Times New Roman" w:cs="Times New Roman"/>
          <w:b w:val="0"/>
          <w:sz w:val="24"/>
          <w:szCs w:val="24"/>
        </w:rPr>
        <w:t>утв. Постановление Правительства РФ от 27.12.2004 № 861</w:t>
      </w:r>
    </w:p>
    <w:p w:rsidR="00E92F27" w:rsidRDefault="00E92F27" w:rsidP="00E92F27">
      <w:pPr>
        <w:pStyle w:val="a4"/>
        <w:rPr>
          <w:sz w:val="22"/>
          <w:szCs w:val="22"/>
        </w:rPr>
      </w:pPr>
      <w:r w:rsidRPr="00D20F29">
        <w:rPr>
          <w:rFonts w:ascii="Times New Roman" w:hAnsi="Times New Roman" w:cs="Times New Roman"/>
          <w:b/>
        </w:rPr>
        <w:t>Результат оказания услуги</w:t>
      </w:r>
      <w:r w:rsidR="00D20F29">
        <w:rPr>
          <w:sz w:val="22"/>
          <w:szCs w:val="22"/>
        </w:rPr>
        <w:t>: фактическое присоединение ЭПУ потребителя к электрическим сетям</w:t>
      </w:r>
    </w:p>
    <w:p w:rsidR="00E92F27" w:rsidRDefault="00E92F27" w:rsidP="00E92F27">
      <w:pPr>
        <w:pStyle w:val="a4"/>
        <w:rPr>
          <w:sz w:val="22"/>
          <w:szCs w:val="22"/>
        </w:rPr>
      </w:pPr>
      <w:r>
        <w:rPr>
          <w:sz w:val="22"/>
          <w:szCs w:val="22"/>
        </w:rPr>
        <w:t>Общий срок оказания услуги</w:t>
      </w:r>
      <w:r w:rsidR="004D1FFD">
        <w:rPr>
          <w:sz w:val="22"/>
          <w:szCs w:val="22"/>
        </w:rPr>
        <w:t xml:space="preserve"> – далее в таблице.</w:t>
      </w:r>
      <w:r>
        <w:rPr>
          <w:sz w:val="22"/>
          <w:szCs w:val="22"/>
        </w:rPr>
        <w:t xml:space="preserve"> </w:t>
      </w:r>
    </w:p>
    <w:p w:rsidR="00E92F27" w:rsidRPr="004D1FFD" w:rsidRDefault="00E92F27" w:rsidP="00E92F27">
      <w:pPr>
        <w:pStyle w:val="a4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E92F27" w:rsidRPr="00E92F27" w:rsidRDefault="00E92F27" w:rsidP="00E92F27">
      <w:pPr>
        <w:rPr>
          <w:lang w:eastAsia="ru-RU"/>
        </w:rPr>
      </w:pPr>
    </w:p>
    <w:tbl>
      <w:tblPr>
        <w:tblW w:w="1044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638"/>
        <w:gridCol w:w="2616"/>
        <w:gridCol w:w="1701"/>
        <w:gridCol w:w="2409"/>
        <w:gridCol w:w="1560"/>
      </w:tblGrid>
      <w:tr w:rsidR="00E92F27" w:rsidTr="007B513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Этап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Форма предоставления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F27" w:rsidRDefault="00E92F27" w:rsidP="004B02E8">
            <w:pPr>
              <w:pStyle w:val="a5"/>
              <w:jc w:val="center"/>
            </w:pPr>
            <w:r>
              <w:t>Ссылка на нормативный правовой акт</w:t>
            </w:r>
          </w:p>
        </w:tc>
      </w:tr>
      <w:tr w:rsidR="007B5137" w:rsidTr="007B5137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Pr="009855DD" w:rsidRDefault="007B5137" w:rsidP="004D1FF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855DD">
              <w:rPr>
                <w:rFonts w:ascii="Times New Roman" w:hAnsi="Times New Roman" w:cs="Times New Roman"/>
              </w:rPr>
              <w:t>Подготовка Договора об осуществлении тех. присоединен</w:t>
            </w:r>
            <w:r w:rsidRPr="009855DD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Pr="00613239" w:rsidRDefault="007B5137" w:rsidP="0061323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заявки от физ. лиц (ЭПУ до 15 кВт, для бытовых нужд) или от</w:t>
            </w:r>
            <w:proofErr w:type="gramStart"/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proofErr w:type="gramEnd"/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р. лиц и ИП (ЭПУ до 150 кВт), расположенных не далее 300 м. в городской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 и не далее 500 м 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37" w:rsidRPr="00613239" w:rsidRDefault="007B5137" w:rsidP="004B02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-почтой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7B5137" w:rsidRDefault="007B5137" w:rsidP="006132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-через </w:t>
            </w:r>
            <w:r w:rsidRPr="00613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«Личный кабинет» на сайте МУ ППЭС </w:t>
            </w:r>
            <w:r w:rsidRPr="00613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61323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muppeskms</w:t>
            </w:r>
            <w:proofErr w:type="spellEnd"/>
            <w:r w:rsidRPr="006132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1323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B5137" w:rsidRPr="00613239" w:rsidRDefault="007B5137" w:rsidP="006132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- лично или через уполномоченного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Pr="00613239" w:rsidRDefault="007B5137" w:rsidP="0061323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Заполненный и подписанный проект договора об осуществлении технологического присоединения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экземплярах и технические условия как неотъемлемое приложение к договору</w:t>
            </w:r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15 дней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со дня получения заявки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137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технологического присоединения энергопринимающих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РФ от 27.12.2004 </w:t>
            </w:r>
          </w:p>
          <w:p w:rsidR="007B5137" w:rsidRPr="00613239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N 861</w:t>
            </w:r>
          </w:p>
        </w:tc>
      </w:tr>
      <w:tr w:rsidR="007B5137" w:rsidTr="008B7AB3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034523">
            <w:pPr>
              <w:pStyle w:val="a5"/>
              <w:jc w:val="left"/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Поступление заявки от физ. лиц от</w:t>
            </w:r>
            <w:proofErr w:type="gramStart"/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proofErr w:type="gramEnd"/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р. лиц и ИП (ЭПУ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 150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670 кВт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), расположенных не далее 300 м. в городской местности и не далее 500 м  в сельской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9855DD">
            <w:pPr>
              <w:pStyle w:val="a5"/>
            </w:pP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Заполненный и подписанный проект договора об осуществлении технологического присоединения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 и технические условия как неотъемлемое приложение к договору </w:t>
            </w:r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</w:t>
            </w:r>
            <w:r w:rsidR="009855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дней </w:t>
            </w:r>
            <w:r w:rsidRPr="00613239">
              <w:rPr>
                <w:rFonts w:ascii="Times New Roman" w:hAnsi="Times New Roman" w:cs="Times New Roman"/>
                <w:sz w:val="20"/>
                <w:szCs w:val="20"/>
              </w:rPr>
              <w:t>со дня получения заявки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5137" w:rsidRDefault="007B5137" w:rsidP="004B02E8">
            <w:pPr>
              <w:pStyle w:val="a5"/>
            </w:pPr>
          </w:p>
        </w:tc>
      </w:tr>
      <w:tr w:rsidR="007B5137" w:rsidTr="008B7AB3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  <w:jc w:val="center"/>
            </w:pPr>
            <w:r>
              <w:t xml:space="preserve">2.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</w:pPr>
            <w:r>
              <w:t>Выполнение сторонами мероприятий по технологическому присоединению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034523">
            <w:pPr>
              <w:pStyle w:val="a5"/>
              <w:rPr>
                <w:sz w:val="20"/>
                <w:szCs w:val="20"/>
              </w:rPr>
            </w:pPr>
            <w:r w:rsidRPr="007B5137">
              <w:rPr>
                <w:sz w:val="20"/>
                <w:szCs w:val="20"/>
              </w:rPr>
              <w:t xml:space="preserve">Поступление в </w:t>
            </w:r>
            <w:proofErr w:type="gramStart"/>
            <w:r w:rsidRPr="007B5137">
              <w:rPr>
                <w:sz w:val="20"/>
                <w:szCs w:val="20"/>
              </w:rPr>
              <w:t>сетевую</w:t>
            </w:r>
            <w:proofErr w:type="gramEnd"/>
            <w:r w:rsidRPr="007B5137">
              <w:rPr>
                <w:sz w:val="20"/>
                <w:szCs w:val="20"/>
              </w:rPr>
              <w:t xml:space="preserve"> организация подписанного Заявителем Договора об осуществлении тех. присоединения в течение 10 дней с даты получения проекта договора</w:t>
            </w:r>
            <w:r w:rsidR="009855DD">
              <w:rPr>
                <w:sz w:val="20"/>
                <w:szCs w:val="20"/>
              </w:rPr>
              <w:t xml:space="preserve"> </w:t>
            </w:r>
          </w:p>
          <w:p w:rsidR="009855DD" w:rsidRPr="009855DD" w:rsidRDefault="009855DD" w:rsidP="009855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5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(при </w:t>
            </w:r>
            <w:proofErr w:type="spellStart"/>
            <w:r w:rsidRPr="00985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непоступлении</w:t>
            </w:r>
            <w:proofErr w:type="spellEnd"/>
            <w:r w:rsidRPr="00985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договора в течение 10 дней, но не ранее чем через 30 дней, заявка аннулируется)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4B02E8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7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7B5137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>- 4 месяца</w:t>
            </w:r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, если осуществляется технологическое присоединение к электрическим сетям классом напряжения до 20 </w:t>
            </w:r>
            <w:proofErr w:type="spell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</w:t>
            </w:r>
            <w:proofErr w:type="gram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</w:t>
            </w:r>
            <w:r w:rsidRPr="007B5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      </w:r>
          </w:p>
          <w:p w:rsidR="007B5137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>- 6 месяцев,</w:t>
            </w:r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(или) от сетевой</w:t>
            </w:r>
            <w:proofErr w:type="gram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</w:t>
            </w:r>
            <w:r w:rsidRPr="007B5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(или) объектов электроэнергетики;</w:t>
            </w:r>
            <w:proofErr w:type="gramEnd"/>
          </w:p>
          <w:p w:rsidR="007B5137" w:rsidRPr="007B5137" w:rsidRDefault="007B5137" w:rsidP="007B513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137">
              <w:rPr>
                <w:rFonts w:ascii="Times New Roman" w:hAnsi="Times New Roman" w:cs="Times New Roman"/>
                <w:b/>
                <w:sz w:val="20"/>
                <w:szCs w:val="20"/>
              </w:rPr>
              <w:t>- 1 год,</w:t>
            </w:r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если технологическое присоединение осуществляется к существующим электрическим сетям необходимого класса напряжения расстояние до границ участка заявителя, на котором расположены присоединяемые </w:t>
            </w:r>
            <w:proofErr w:type="spellStart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7B513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более 300 метров в городах и поселках городского типа и более 500 метров в сельской местности и более короткие сроки не предусмотрены инвестиционной программой или соглашением сторон.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137" w:rsidRPr="007B5137" w:rsidRDefault="007B5137" w:rsidP="004B02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F27" w:rsidRDefault="00E92F27" w:rsidP="00E92F27">
      <w:pPr>
        <w:rPr>
          <w:lang w:eastAsia="ru-RU"/>
        </w:rPr>
      </w:pPr>
    </w:p>
    <w:p w:rsidR="00E92F27" w:rsidRPr="009855DD" w:rsidRDefault="00E92F27" w:rsidP="00E92F27">
      <w:pPr>
        <w:rPr>
          <w:b/>
        </w:rPr>
      </w:pPr>
      <w:r w:rsidRPr="009855DD">
        <w:rPr>
          <w:b/>
        </w:rPr>
        <w:t>Контактная информация для направления обращений</w:t>
      </w:r>
      <w:r w:rsidR="009855DD" w:rsidRPr="009855DD">
        <w:rPr>
          <w:b/>
        </w:rPr>
        <w:t xml:space="preserve">: 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</w:rPr>
        <w:t>681005, г. Комсомольск-на-Амуре. ул. Просвещения, 1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5DD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9855DD">
        <w:rPr>
          <w:rFonts w:ascii="Times New Roman" w:hAnsi="Times New Roman" w:cs="Times New Roman"/>
          <w:sz w:val="24"/>
          <w:szCs w:val="24"/>
          <w:lang w:val="en-US" w:eastAsia="ru-RU"/>
        </w:rPr>
        <w:t>muppeskms</w:t>
      </w:r>
      <w:proofErr w:type="spell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55D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855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55D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55DD">
        <w:rPr>
          <w:rFonts w:ascii="Times New Roman" w:hAnsi="Times New Roman" w:cs="Times New Roman"/>
          <w:sz w:val="24"/>
          <w:szCs w:val="24"/>
          <w:lang w:eastAsia="ru-RU"/>
        </w:rPr>
        <w:t>очта</w:t>
      </w:r>
      <w:r w:rsidRPr="009855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muppes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td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9855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55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</w:rPr>
      </w:pPr>
      <w:r w:rsidRPr="009855DD">
        <w:rPr>
          <w:rFonts w:ascii="Times New Roman" w:hAnsi="Times New Roman" w:cs="Times New Roman"/>
          <w:sz w:val="24"/>
          <w:szCs w:val="24"/>
        </w:rPr>
        <w:t>Тел: (4217) 54-95-17 (кабинет обслуживания посетителей)</w:t>
      </w:r>
    </w:p>
    <w:p w:rsidR="009855DD" w:rsidRPr="009855DD" w:rsidRDefault="009855DD" w:rsidP="00E92F2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855DD">
        <w:rPr>
          <w:rFonts w:ascii="Times New Roman" w:hAnsi="Times New Roman" w:cs="Times New Roman"/>
          <w:sz w:val="24"/>
          <w:szCs w:val="24"/>
        </w:rPr>
        <w:t xml:space="preserve">        (4217) 54-98-10 (приемная)</w:t>
      </w:r>
    </w:p>
    <w:sectPr w:rsidR="009855DD" w:rsidRPr="0098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7"/>
    <w:rsid w:val="00034523"/>
    <w:rsid w:val="003F0CB0"/>
    <w:rsid w:val="004D1FFD"/>
    <w:rsid w:val="00555292"/>
    <w:rsid w:val="00613239"/>
    <w:rsid w:val="007B5137"/>
    <w:rsid w:val="009855DD"/>
    <w:rsid w:val="00D20F29"/>
    <w:rsid w:val="00D522FE"/>
    <w:rsid w:val="00E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F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2F2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2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5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F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F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92F27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92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D2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20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85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pes@td-net.ru" TargetMode="External"/><Relationship Id="rId5" Type="http://schemas.openxmlformats.org/officeDocument/2006/relationships/hyperlink" Target="consultantplus://offline/ref=FC01FE340B108397DF4093427E1407D0DE1A1123B8AFCA941CF0D94CB480CB5122CEB0D0DA52C13DB59AF702289498022E4D15E8PF6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dcterms:created xsi:type="dcterms:W3CDTF">2020-02-24T23:23:00Z</dcterms:created>
  <dcterms:modified xsi:type="dcterms:W3CDTF">2020-02-25T01:30:00Z</dcterms:modified>
</cp:coreProperties>
</file>